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  <w14:ligatures w14:val="none"/>
        </w:rPr>
      </w:pPr>
      <w:r>
        <w:rPr>
          <w:rFonts w:ascii="Times New Roman" w:hAnsi="Times New Roman" w:cs="Times New Roman"/>
          <w:sz w:val="72"/>
          <w:szCs w:val="72"/>
        </w:rPr>
        <w:t xml:space="preserve">«</w:t>
      </w:r>
      <w:r>
        <w:rPr>
          <w:rFonts w:ascii="Times New Roman" w:hAnsi="Times New Roman" w:cs="Times New Roman"/>
          <w:sz w:val="72"/>
          <w:szCs w:val="72"/>
        </w:rPr>
        <w:t xml:space="preserve">УПРАВЛЕНИЕ ПЕРЕВОЗОЧНЫМ ПРОЦЕССОМ</w:t>
      </w:r>
      <w:r>
        <w:rPr>
          <w:rFonts w:ascii="Times New Roman" w:hAnsi="Times New Roman" w:cs="Times New Roman"/>
          <w:sz w:val="72"/>
          <w:szCs w:val="72"/>
        </w:rPr>
      </w:r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  <w14:ligatures w14:val="none"/>
        </w:rPr>
      </w:pPr>
      <w:r>
        <w:rPr>
          <w:rFonts w:ascii="Times New Roman" w:hAnsi="Times New Roman" w:cs="Times New Roman"/>
          <w:sz w:val="72"/>
          <w:szCs w:val="72"/>
        </w:rPr>
        <w:t xml:space="preserve">НА ЖЕЛЕЗНОДОРОЖНОМ ТРАНСПОРТЕ</w:t>
      </w:r>
      <w:r>
        <w:rPr>
          <w:rFonts w:ascii="Times New Roman" w:hAnsi="Times New Roman" w:cs="Times New Roman"/>
          <w:sz w:val="72"/>
          <w:szCs w:val="72"/>
        </w:rPr>
        <w:t xml:space="preserve">»</w:t>
      </w:r>
      <w:r>
        <w:rPr>
          <w:rFonts w:ascii="Times New Roman" w:hAnsi="Times New Roman" w:cs="Times New Roman"/>
          <w:sz w:val="72"/>
          <w:szCs w:val="72"/>
        </w:rPr>
      </w:r>
      <w:r>
        <w:rPr>
          <w:rFonts w:ascii="Times New Roman" w:hAnsi="Times New Roman" w:cs="Times New Roman"/>
          <w:sz w:val="72"/>
          <w:szCs w:val="72"/>
        </w:rPr>
      </w:r>
      <w:r/>
      <w:r>
        <w:rPr>
          <w:rFonts w:ascii="Times New Roman" w:hAnsi="Times New Roman" w:cs="Times New Roman"/>
          <w:sz w:val="72"/>
          <w:szCs w:val="72"/>
          <w14:ligatures w14:val="none"/>
        </w:rPr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u w:val="single"/>
        </w:rPr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«Управление перевозочным процессом на железнодорожном транспорте»</w:t>
      </w:r>
      <w:r>
        <w:rPr>
          <w:u w:val="none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  <w:r>
        <w:rPr>
          <w:rFonts w:ascii="Times New Roman" w:hAnsi="Times New Roman" w:eastAsia="Times New Roman" w:cs="Times New Roman"/>
          <w:sz w:val="28"/>
          <w:szCs w:val="28"/>
          <w:highlight w:val="none"/>
          <w:u w:val="none"/>
        </w:rPr>
      </w:r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индивидуальный 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76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Железнодорожный комп</w:t>
      </w:r>
      <w:r>
        <w:rPr>
          <w:rFonts w:ascii="Times New Roman" w:hAnsi="Times New Roman" w:cs="Times New Roman"/>
          <w:sz w:val="28"/>
          <w:szCs w:val="28"/>
        </w:rPr>
        <w:t xml:space="preserve">лекс имеет стратегическое значение для России, обеспечивает стабильную деятельность промышленных предприятий, своевременный подвоз жизненно важных грузов в самые отдаленные уголки страны, а также является самым доступным транспортом для миллионов граждан.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перевозочным процессом на железнодорожном транспорте»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заложены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профессиональные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практические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  <w:t xml:space="preserve">навыки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специалиста по осуществлению перевозочного процесса, организации движени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поездов, производств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маневровой работы на раздельных пунктах, выполнении графика движения поездов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мение выполнить все условия договора на перевозку, четко и грамотно спланировать работу железнодорожной станции и обеспечить безопасность движения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Calibri" w:cs="Times New Roman"/>
          <w:bCs/>
          <w:sz w:val="28"/>
          <w:szCs w:val="28"/>
          <w:shd w:val="clear" w:color="auto" w:fill="ffffff"/>
        </w:rPr>
        <w:t xml:space="preserve">дежурного по железнодорожной станции, маневрового диспетчера,</w:t>
      </w:r>
      <w:r>
        <w:rPr>
          <w:rFonts w:ascii="Times New Roman" w:hAnsi="Times New Roman" w:eastAsia="Calibri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shd w:val="clear" w:color="auto" w:fill="ffffff"/>
        </w:rPr>
        <w:t xml:space="preserve">дежурного по сортировочной </w:t>
      </w:r>
      <w:r>
        <w:rPr>
          <w:rFonts w:ascii="Times New Roman" w:hAnsi="Times New Roman" w:eastAsia="Calibri" w:cs="Times New Roman"/>
          <w:bCs/>
          <w:sz w:val="28"/>
          <w:szCs w:val="28"/>
          <w:shd w:val="clear" w:color="auto" w:fill="ffffff"/>
        </w:rPr>
        <w:t xml:space="preserve">горке).</w:t>
      </w:r>
      <w:r>
        <w:rPr>
          <w:rFonts w:ascii="Times New Roman" w:hAnsi="Times New Roman" w:eastAsia="Calibri" w:cs="Times New Roman"/>
          <w:bCs/>
          <w:sz w:val="28"/>
          <w:szCs w:val="28"/>
          <w:shd w:val="clear" w:color="auto" w:fill="ffffff"/>
        </w:rPr>
        <w:t xml:space="preserve"> </w:t>
      </w:r>
      <w:r/>
    </w:p>
    <w:p>
      <w:pPr>
        <w:ind w:firstLine="709"/>
        <w:jc w:val="both"/>
        <w:spacing w:after="0" w:line="276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полностью соответствует задаче качественной подготовк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железнодорожного транспорт</w:t>
      </w:r>
      <w:r>
        <w:rPr>
          <w:rFonts w:ascii="Times New Roman" w:hAnsi="Times New Roman" w:cs="Times New Roman"/>
          <w:sz w:val="28"/>
          <w:szCs w:val="28"/>
        </w:rPr>
        <w:t xml:space="preserve">а, непосредственно связанных с движением поездов, маневровой работой и обеспечением транспортной безопасности, поставленной Концепцией подготовки кадров для транспортного комплекса до 2035 года (утв. распоряжением Правительства РФ от 06.02.2021 г. № 255-р)</w:t>
      </w:r>
      <w:r/>
    </w:p>
    <w:p>
      <w:pPr>
        <w:ind w:firstLine="708"/>
        <w:jc w:val="both"/>
        <w:spacing w:after="0" w:line="276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Перевозочный процесс – это основной вид деятельности ОАО «РЖД» и других предприятий железнодорожного транспорта. </w:t>
      </w:r>
      <w:r/>
    </w:p>
    <w:p>
      <w:pPr>
        <w:ind w:firstLine="708"/>
        <w:jc w:val="both"/>
        <w:spacing w:after="0" w:line="276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Цифровизация производственного процесса предъявляет дополнительные требования к кадровому потенциалу Российских железных дорог, которые </w:t>
      </w:r>
      <w:r>
        <w:rPr>
          <w:rFonts w:ascii="Times New Roman" w:hAnsi="Times New Roman" w:cs="Times New Roman"/>
          <w:sz w:val="28"/>
          <w:szCs w:val="28"/>
        </w:rPr>
        <w:t xml:space="preserve">заложены в конкурсных заданиях компетенции, направленных на выявление профессиональной и практической подготовки конкурсантов, умени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применять современные технологии по организации перевозочного процесса на железнодорожном транспорте. </w:t>
      </w:r>
      <w:r/>
    </w:p>
    <w:p>
      <w:pPr>
        <w:pStyle w:val="678"/>
        <w:ind w:left="0" w:firstLine="851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Качественная работа специалистов дирекции движения - залог безопасности пассажиров и перевозок грузов. </w:t>
      </w:r>
      <w:r/>
    </w:p>
    <w:p>
      <w:pPr>
        <w:pStyle w:val="678"/>
        <w:ind w:left="0" w:firstLine="851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мероприятиях Чемпионатного движения </w:t>
      </w:r>
      <w:r>
        <w:rPr>
          <w:rFonts w:ascii="Times New Roman" w:hAnsi="Times New Roman" w:eastAsia="Times New Roman"/>
          <w:sz w:val="28"/>
          <w:szCs w:val="28"/>
        </w:rPr>
        <w:t xml:space="preserve">проводится для возрастных категорий: основная - 16 – 22 лет и юниоры - 14 - 16 лет.</w:t>
      </w:r>
      <w:r/>
    </w:p>
    <w:p>
      <w:pPr>
        <w:pStyle w:val="678"/>
        <w:ind w:left="0" w:firstLine="851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/>
      <w:bookmarkStart w:id="0" w:name="_Toc123113308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>
        <w:t xml:space="preserve">.</w:t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 w:cs="Times New Roman"/>
          <w:b/>
          <w:caps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pStyle w:val="678"/>
        <w:numPr>
          <w:ilvl w:val="0"/>
          <w:numId w:val="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Федеральный государственный образовательный стандарт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среднего профессионального образования по специальности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23.02.01 Организация перевозок и управление на транспорте (по видам) (утв. приказом Министерства образования и науки РФ от 22 апреля 2014 г. N 376)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</w:t>
      </w:r>
      <w:r/>
    </w:p>
    <w:p>
      <w:pPr>
        <w:pStyle w:val="678"/>
        <w:numPr>
          <w:ilvl w:val="0"/>
          <w:numId w:val="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рофессиональны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sdt>
        <w:sdtPr>
          <w15:appearance w15:val="boundingBox"/>
          <w:id w:val="557452243"/>
          <w:showingPlcHdr w:val="true"/>
          <w:tag w:val="goog_rdk_3"/>
          <w:rPr>
            <w:rFonts w:ascii="Times New Roman" w:hAnsi="Times New Roman"/>
            <w:sz w:val="28"/>
            <w:szCs w:val="28"/>
          </w:rPr>
        </w:sdtPr>
        <w:sdtContent>
          <w:r>
            <w:t xml:space="preserve">    </w:t>
          </w:r>
        </w:sdtContent>
      </w:sdt>
      <w:r>
        <w:rPr>
          <w:rFonts w:ascii="Times New Roman" w:hAnsi="Times New Roman"/>
          <w:sz w:val="28"/>
          <w:szCs w:val="28"/>
        </w:rPr>
        <w:t xml:space="preserve">стандарт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Специалист по организации управления движением поездов, производства маневровой работы на раздельных пунктах</w:t>
      </w:r>
      <w:r>
        <w:rPr>
          <w:rFonts w:ascii="Times New Roman" w:hAnsi="Times New Roman"/>
          <w:sz w:val="28"/>
          <w:szCs w:val="28"/>
        </w:rPr>
        <w:t xml:space="preserve">» (утвержден приказом Минтруда России от 21.09.2020 № 629н)</w:t>
      </w:r>
      <w:r>
        <w:rPr>
          <w:rFonts w:ascii="Times New Roman" w:hAnsi="Times New Roman"/>
          <w:sz w:val="28"/>
          <w:szCs w:val="28"/>
        </w:rPr>
        <w:t xml:space="preserve"> действует до 01.03.2023;</w:t>
      </w:r>
      <w:r/>
    </w:p>
    <w:p>
      <w:pPr>
        <w:pStyle w:val="678"/>
        <w:numPr>
          <w:ilvl w:val="0"/>
          <w:numId w:val="5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рофессиональный стандарт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Специалист по организации управления движением поездов, производства маневровой работы на раздельных пунктах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(утв. приказом Минтруда и социальной защиты РФ от 15.09.2022 г. N 551н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вступает в силу с 1 марта 2023 г.)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/>
    </w:p>
    <w:p>
      <w:pPr>
        <w:pStyle w:val="673"/>
        <w:numPr>
          <w:ilvl w:val="0"/>
          <w:numId w:val="5"/>
        </w:numPr>
        <w:jc w:val="both"/>
        <w:spacing w:before="0" w:line="276" w:lineRule="auto"/>
        <w:rPr>
          <w:rFonts w:ascii="Times New Roman" w:hAnsi="Times New Roman" w:cs="Times New Roman"/>
          <w:color w:val="auto"/>
          <w:spacing w:val="-15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рофессиональный стандарт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«</w:t>
      </w:r>
      <w:r>
        <w:rPr>
          <w:rStyle w:val="692"/>
          <w:rFonts w:ascii="Times New Roman" w:hAnsi="Times New Roman" w:cs="Times New Roman"/>
          <w:color w:val="auto"/>
          <w:spacing w:val="-15"/>
          <w:sz w:val="28"/>
          <w:szCs w:val="28"/>
        </w:rPr>
        <w:t xml:space="preserve">Специалист по организации работы железнодорожной станции и обеспечению безопасности движения</w:t>
      </w:r>
      <w:r>
        <w:rPr>
          <w:rStyle w:val="692"/>
          <w:rFonts w:ascii="Times New Roman" w:hAnsi="Times New Roman" w:cs="Times New Roman"/>
          <w:color w:val="auto"/>
          <w:spacing w:val="-15"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(утв. приказом Мин труда и социальной защиты РФ от 16.03.2022 г. N 131н)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;</w:t>
      </w:r>
      <w:r/>
    </w:p>
    <w:p>
      <w:pPr>
        <w:pStyle w:val="678"/>
        <w:numPr>
          <w:ilvl w:val="0"/>
          <w:numId w:val="1"/>
        </w:numPr>
        <w:jc w:val="both"/>
        <w:spacing w:after="0"/>
        <w:rPr>
          <w:rFonts w:ascii="Times New Roman" w:hAnsi="Times New Roman"/>
          <w:sz w:val="28"/>
          <w:szCs w:val="28"/>
        </w:rPr>
      </w:pPr>
      <w:r/>
      <w:hyperlink r:id="rId10" w:tooltip="https://www.consultant.ru/document/cons_doc_LAW_144823/" w:history="1">
        <w:r>
          <w:rPr>
            <w:rStyle w:val="68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Единый тарифно-квалификационный справочник работ и профессий рабочих</w:t>
        </w:r>
      </w:hyperlink>
      <w:r>
        <w:rPr>
          <w:rFonts w:ascii="Times New Roman" w:hAnsi="Times New Roman"/>
          <w:sz w:val="28"/>
          <w:szCs w:val="28"/>
        </w:rPr>
        <w:t xml:space="preserve">, раздел "Железнодорожный транспорт" (п</w:t>
      </w:r>
      <w:r>
        <w:rPr>
          <w:rFonts w:ascii="Times New Roman" w:hAnsi="Times New Roman"/>
          <w:sz w:val="28"/>
          <w:szCs w:val="28"/>
        </w:rPr>
        <w:t xml:space="preserve">риказ Минтруда России от 18.02.2013 N 68н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678"/>
        <w:numPr>
          <w:ilvl w:val="0"/>
          <w:numId w:val="1"/>
        </w:numPr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«О железнодорожном транспорте Российской Федерации», 2003 г. (с изменениями и дополнениями);</w:t>
      </w:r>
      <w:r/>
    </w:p>
    <w:p>
      <w:pPr>
        <w:numPr>
          <w:ilvl w:val="0"/>
          <w:numId w:val="1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«Устав железнодорожного транспорта Российской Федерации» от 10.01.2003 №18;</w:t>
      </w:r>
      <w:r/>
    </w:p>
    <w:p>
      <w:pPr>
        <w:pStyle w:val="678"/>
        <w:numPr>
          <w:ilvl w:val="0"/>
          <w:numId w:val="1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1f1f24"/>
          <w:sz w:val="28"/>
          <w:szCs w:val="28"/>
          <w:lang w:eastAsia="ru-RU"/>
        </w:rPr>
        <w:t xml:space="preserve">Распоряжение</w:t>
      </w:r>
      <w:r>
        <w:rPr>
          <w:rFonts w:ascii="Times New Roman" w:hAnsi="Times New Roman" w:eastAsia="Times New Roman"/>
          <w:color w:val="1f1f24"/>
          <w:sz w:val="28"/>
          <w:szCs w:val="28"/>
          <w:lang w:eastAsia="ru-RU"/>
        </w:rPr>
        <w:t xml:space="preserve"> ОАО «РЖД» от 26.06.2012 № 1267р «</w:t>
      </w:r>
      <w:r>
        <w:rPr>
          <w:rFonts w:ascii="Times New Roman" w:hAnsi="Times New Roman" w:eastAsia="Times New Roman"/>
          <w:color w:val="1f1f24"/>
          <w:sz w:val="28"/>
          <w:szCs w:val="28"/>
          <w:lang w:eastAsia="ru-RU"/>
        </w:rPr>
        <w:t xml:space="preserve">Об утверждении стандартов ОАО «РЖД» по инновационной деятельности»</w:t>
      </w:r>
      <w:r>
        <w:rPr>
          <w:rFonts w:ascii="Times New Roman" w:hAnsi="Times New Roman" w:eastAsia="Times New Roman"/>
          <w:color w:val="1f1f24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/>
    </w:p>
    <w:p>
      <w:pPr>
        <w:pStyle w:val="678"/>
        <w:numPr>
          <w:ilvl w:val="0"/>
          <w:numId w:val="1"/>
        </w:num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деловой этики ОАО «Российские железные дороги»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(с изменениями и дополнениями);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железных дорог Российской Федерации, 2022 г. (с изменениями и дополнениями);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обеспечению безопасности движения поездов при производстве работ по техническому обслуживанию и ремонту устройств СЦБ №ЦШ/530-11;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обеспечению безопасности движения поездов при производстве путевых работ от 14 декабря 2016 г. №2540р;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перевозок грузов железнодорожным транспортом (с изменениями и дополнениями);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перевозок опасных грузов по железным дорогам (с изменениями и дополнениями);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перевозок пассажиров, багажа и </w:t>
      </w:r>
      <w:r>
        <w:rPr>
          <w:rFonts w:ascii="Times New Roman" w:hAnsi="Times New Roman" w:cs="Times New Roman"/>
          <w:sz w:val="28"/>
          <w:szCs w:val="28"/>
        </w:rPr>
        <w:t xml:space="preserve">грузобагажа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дисциплине работников железнодорожного транспорта;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нормированию маневровой работы на станции;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движения поездов и план формирования; 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технологический процесс работы участковых, сортировочных, пассажирских, грузовых станций;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 работы сборного поезда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numPr>
          <w:ilvl w:val="0"/>
          <w:numId w:val="7"/>
        </w:numPr>
        <w:contextualSpacing/>
        <w:jc w:val="both"/>
        <w:spacing w:after="0" w:line="276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119.13330.2017 (24.12.2019) </w:t>
      </w:r>
      <w:r>
        <w:rPr>
          <w:rFonts w:ascii="Times New Roman" w:hAnsi="Times New Roman" w:cs="Times New Roman"/>
          <w:sz w:val="28"/>
          <w:szCs w:val="28"/>
        </w:rPr>
        <w:t xml:space="preserve">Ж</w:t>
      </w:r>
      <w:r>
        <w:rPr>
          <w:rFonts w:ascii="Times New Roman" w:hAnsi="Times New Roman" w:cs="Times New Roman"/>
          <w:sz w:val="28"/>
          <w:szCs w:val="28"/>
        </w:rPr>
        <w:t xml:space="preserve">елезные дороги колеи </w:t>
      </w:r>
      <w:r>
        <w:rPr>
          <w:rFonts w:ascii="Times New Roman" w:hAnsi="Times New Roman" w:cs="Times New Roman"/>
          <w:sz w:val="28"/>
          <w:szCs w:val="28"/>
        </w:rPr>
        <w:t xml:space="preserve">1520 мм Актуализированная редакция СНиП 32-01-95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>
        <w:trPr>
          <w:tblHeader/>
        </w:trPr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Планирование движения поездов и производства маневровой работы на разъезде, обгонном пункте, путевом посту и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движения поездов и производства маневровой работы на разъезде, обгонном пункте, путевом посту и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Аккумулирование поступившей информации о производстве маневровой работы в автоматизированных системах</w:t>
            </w:r>
            <w:r/>
          </w:p>
        </w:tc>
      </w:tr>
      <w:tr>
        <w:trPr>
          <w:trHeight w:val="167"/>
        </w:trPr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Обработка поездной информации в автоматизированных системах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Ведение установленных форм документации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маневровой работы в обслуживающем маневровом районе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Контроль выполнения маневровой работы в обслуживаемом маневровом районе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маневровой работы в парке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Ведение нормативной документации и обработка информационных сообщений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Планирование маневровой работы и роспуска вагонов с сортировочной горки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выполнения маневровой работы по роспуску вагонов с сортировочной горки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Планирование маневровой работы на железнодорожной станции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Анализ работы маневровых районов и сортировочных устройств (горок, вытяжных путей), железнодорожных путей необщего пользования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mbria" w:cs="Times New Roman"/>
                <w:sz w:val="28"/>
                <w:szCs w:val="28"/>
              </w:rPr>
              <w:t xml:space="preserve">Разработка и анализ документов, регламентирующих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</w:t>
            </w:r>
            <w:r>
              <w:rPr>
                <w:rFonts w:ascii="Times New Roman" w:hAnsi="Times New Roman" w:eastAsia="Cambria" w:cs="Times New Roman"/>
                <w:sz w:val="28"/>
                <w:szCs w:val="28"/>
              </w:rPr>
              <w:t xml:space="preserve"> транспорта в целом и его объектов (железнодорожной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станции)</w:t>
            </w:r>
            <w:r>
              <w:rPr>
                <w:rFonts w:ascii="Times New Roman" w:hAnsi="Times New Roman" w:eastAsia="Cambria" w:cs="Times New Roman"/>
                <w:sz w:val="28"/>
                <w:szCs w:val="28"/>
              </w:rPr>
              <w:t xml:space="preserve"> в частности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и защиту окружающей природной среды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5"/>
    <w:link w:val="67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5"/>
    <w:link w:val="67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5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5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5"/>
    <w:link w:val="680"/>
    <w:uiPriority w:val="99"/>
  </w:style>
  <w:style w:type="character" w:styleId="44">
    <w:name w:val="Footer Char"/>
    <w:basedOn w:val="675"/>
    <w:link w:val="682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2"/>
    <w:uiPriority w:val="99"/>
  </w:style>
  <w:style w:type="table" w:styleId="47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5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5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91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674">
    <w:name w:val="Heading 2"/>
    <w:basedOn w:val="672"/>
    <w:link w:val="69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>
    <w:name w:val="List Paragraph"/>
    <w:basedOn w:val="672"/>
    <w:link w:val="679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79" w:customStyle="1">
    <w:name w:val="Абзац списка Знак"/>
    <w:basedOn w:val="675"/>
    <w:link w:val="678"/>
    <w:qFormat/>
    <w:rPr>
      <w:rFonts w:ascii="Calibri" w:hAnsi="Calibri" w:eastAsia="Calibri" w:cs="Times New Roman"/>
    </w:rPr>
  </w:style>
  <w:style w:type="paragraph" w:styleId="680">
    <w:name w:val="Header"/>
    <w:basedOn w:val="672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Верхний колонтитул Знак"/>
    <w:basedOn w:val="675"/>
    <w:link w:val="680"/>
    <w:uiPriority w:val="99"/>
  </w:style>
  <w:style w:type="paragraph" w:styleId="682">
    <w:name w:val="Footer"/>
    <w:basedOn w:val="672"/>
    <w:link w:val="6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3" w:customStyle="1">
    <w:name w:val="Нижний колонтитул Знак"/>
    <w:basedOn w:val="675"/>
    <w:link w:val="682"/>
    <w:uiPriority w:val="99"/>
  </w:style>
  <w:style w:type="table" w:styleId="684" w:customStyle="1">
    <w:name w:val="8"/>
    <w:basedOn w:val="676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85">
    <w:name w:val="Balloon Text"/>
    <w:basedOn w:val="672"/>
    <w:link w:val="68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6" w:customStyle="1">
    <w:name w:val="Текст выноски Знак"/>
    <w:basedOn w:val="675"/>
    <w:link w:val="685"/>
    <w:uiPriority w:val="99"/>
    <w:semiHidden/>
    <w:rPr>
      <w:rFonts w:ascii="Segoe UI" w:hAnsi="Segoe UI" w:cs="Segoe UI"/>
      <w:sz w:val="18"/>
      <w:szCs w:val="18"/>
    </w:rPr>
  </w:style>
  <w:style w:type="character" w:styleId="687">
    <w:name w:val="annotation reference"/>
    <w:basedOn w:val="675"/>
    <w:uiPriority w:val="99"/>
    <w:semiHidden/>
    <w:unhideWhenUsed/>
    <w:rPr>
      <w:sz w:val="16"/>
      <w:szCs w:val="16"/>
    </w:rPr>
  </w:style>
  <w:style w:type="character" w:styleId="688">
    <w:name w:val="Hyperlink"/>
    <w:basedOn w:val="675"/>
    <w:uiPriority w:val="99"/>
    <w:semiHidden/>
    <w:unhideWhenUsed/>
    <w:rPr>
      <w:color w:val="0000ff"/>
      <w:u w:val="single"/>
    </w:rPr>
  </w:style>
  <w:style w:type="paragraph" w:styleId="689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690" w:customStyle="1">
    <w:name w:val="Заголовок 2 Знак"/>
    <w:basedOn w:val="675"/>
    <w:link w:val="674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91" w:customStyle="1">
    <w:name w:val="Заголовок 1 Знак"/>
    <w:basedOn w:val="675"/>
    <w:link w:val="673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92" w:customStyle="1">
    <w:name w:val="ps__h1span"/>
    <w:basedOn w:val="6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www.consultant.ru/document/cons_doc_LAW_14482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Артур Ялаев</cp:lastModifiedBy>
  <cp:revision>14</cp:revision>
  <dcterms:created xsi:type="dcterms:W3CDTF">2023-01-11T11:48:00Z</dcterms:created>
  <dcterms:modified xsi:type="dcterms:W3CDTF">2023-02-07T10:57:36Z</dcterms:modified>
</cp:coreProperties>
</file>