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C5E6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C5E6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C5E6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для восстановления целостности кузова. Эти части или детали могут быть приварены, прикручены болтами/саморезами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зачистных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_Toc256000057"/>
      <w:bookmarkStart w:id="8" w:name="_Toc256000007"/>
      <w:bookmarkStart w:id="9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7"/>
      <w:bookmarkEnd w:id="8"/>
      <w:bookmarkEnd w:id="9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7"/>
        <w:gridCol w:w="7871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конструкции кузова, относительно к его прочности и </w:t>
            </w:r>
            <w:r w:rsidRPr="00E112E5">
              <w:rPr>
                <w:rFonts w:ascii="Times New Roman" w:hAnsi="Times New Roman" w:cs="Times New Roman"/>
              </w:rPr>
              <w:lastRenderedPageBreak/>
              <w:t xml:space="preserve">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структурный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векторного. </w:t>
            </w:r>
            <w:r w:rsidRPr="00E112E5">
              <w:rPr>
                <w:bCs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кузова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элементов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деталей/панелей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• Проведение сварочных работ необходимых для выполнения ремонта (MAGS MAGS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инструментов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</w:t>
            </w:r>
            <w:r w:rsidRPr="00F23BA0">
              <w:rPr>
                <w:rFonts w:ascii="Times New Roman" w:hAnsi="Times New Roman" w:cs="Times New Roman"/>
              </w:rPr>
              <w:lastRenderedPageBreak/>
              <w:t xml:space="preserve">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), сверхвысокопрочной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т.д;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гидронаборами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4C5E6A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Знать рекомендации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FA">
              <w:rPr>
                <w:rFonts w:ascii="Times New Roman" w:hAnsi="Times New Roman" w:cs="Times New Roman"/>
              </w:rPr>
              <w:t xml:space="preserve">Назначение и устройство узлов SRS включая подушки </w:t>
            </w:r>
            <w:r w:rsidRPr="006A00FA">
              <w:rPr>
                <w:rFonts w:ascii="Times New Roman" w:hAnsi="Times New Roman" w:cs="Times New Roman"/>
              </w:rPr>
              <w:lastRenderedPageBreak/>
              <w:t>безопасности, каркас безопасности, преднатежители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FA" w:rsidRPr="009955F8" w:rsidTr="004C5E6A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0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2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5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6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369F8" w:rsidRPr="009955F8" w:rsidTr="007759FA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3,</w:t>
            </w: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7759FA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7369F8" w:rsidRPr="009955F8" w:rsidTr="007759FA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7369F8" w:rsidRPr="009955F8" w:rsidTr="007759FA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bookmarkStart w:id="20" w:name="_GoBack"/>
            <w:bookmarkEnd w:id="20"/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7759FA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7369F8" w:rsidRPr="009955F8" w:rsidTr="007759FA">
        <w:trPr>
          <w:trHeight w:val="285"/>
        </w:trPr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7369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tabs>
                <w:tab w:val="left" w:pos="993"/>
              </w:tabs>
              <w:autoSpaceDE w:val="0"/>
              <w:autoSpaceDN w:val="0"/>
              <w:adjustRightInd w:val="0"/>
              <w:ind w:left="-74"/>
              <w:jc w:val="both"/>
              <w:rPr>
                <w:b/>
                <w:color w:val="000000"/>
                <w:sz w:val="24"/>
                <w:szCs w:val="24"/>
              </w:rPr>
            </w:pPr>
            <w:r w:rsidRPr="007369F8">
              <w:rPr>
                <w:b/>
                <w:sz w:val="24"/>
                <w:szCs w:val="24"/>
              </w:rPr>
              <w:t>Ремонт пластиковых элементов кузова</w:t>
            </w:r>
          </w:p>
        </w:tc>
        <w:tc>
          <w:tcPr>
            <w:tcW w:w="1684" w:type="dxa"/>
            <w:vAlign w:val="center"/>
          </w:tcPr>
          <w:p w:rsidR="007369F8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заказ-наряда);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на болту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отбортовку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от излишне от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>MIG электро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 xml:space="preserve">Двухсторонняя точечная сварка – все четыре фланца/отбортовки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50 мм фланца/отбортовки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токопроводящем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Диаметр отверстия для сварки электро</w:t>
      </w:r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>Глубина сверления для сварки электро</w:t>
      </w:r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Отбортовки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отбортовку и ребро жесткости, не выровненных должным образом для сварки. Это измеряется при помощи калибра, соответствующего контуру отбортовки / ребра. Допуск +/-Nмм.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Прихваточная/монтажная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>Сварка электро</w:t>
      </w:r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>Вычет баллов за каждую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отбортовки,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находиться в курсе каждого принятого решения и документировать результаты 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Такие этапы задания обозначены в инструкциях конкурсантов знаками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C17F8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Модуль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ремонт панелей</w:t>
      </w:r>
    </w:p>
    <w:p w:rsidR="000C17F8" w:rsidRPr="004C5E6A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предусмотренных производителем. Ремонт должен быть доведен до стадии 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модуля, согласно установленным «точкам STOP» в инструкциях для участника и по окончании трех(четырех)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электрозаклепок на отбортовках;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Подготовьте ребра жесткости/«вставка»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отштамповок,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доступ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электро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электрозаклепки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Отрихтуйте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электрозаклепок на отбортовках;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отштамповок,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электро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изначальных;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необходимости, произвести 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>» - Ремонт пластиковых элементов кузова</w:t>
      </w:r>
    </w:p>
    <w:p w:rsidR="004C5E6A" w:rsidRPr="00DF6FAE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C5E6A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пластиковых элементов</w:t>
      </w:r>
      <w:r w:rsidRPr="00DF6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восстановление формы пластиковых элементов</w:t>
      </w:r>
      <w:r w:rsidRPr="00DF6FAE">
        <w:rPr>
          <w:rFonts w:ascii="Times New Roman" w:hAnsi="Times New Roman"/>
          <w:sz w:val="28"/>
          <w:szCs w:val="28"/>
        </w:rPr>
        <w:t>. Процедура ремонта будет состоять из списка операций,</w:t>
      </w:r>
      <w:r>
        <w:rPr>
          <w:rFonts w:ascii="Times New Roman" w:hAnsi="Times New Roman"/>
          <w:sz w:val="28"/>
          <w:szCs w:val="28"/>
        </w:rPr>
        <w:t xml:space="preserve"> изложенных в технологической карте завода изготовителя клея для ремонта и восстановления пластика</w:t>
      </w:r>
      <w:r w:rsidRPr="00DF6FAE">
        <w:rPr>
          <w:rFonts w:ascii="Times New Roman" w:hAnsi="Times New Roman"/>
          <w:sz w:val="28"/>
          <w:szCs w:val="28"/>
        </w:rPr>
        <w:t xml:space="preserve">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>ой измерительной системой Siver</w:t>
      </w:r>
      <w:r w:rsidRPr="002329F8">
        <w:rPr>
          <w:rFonts w:ascii="Times New Roman" w:hAnsi="Times New Roman" w:cs="Times New Roman"/>
          <w:sz w:val="28"/>
          <w:szCs w:val="28"/>
        </w:rPr>
        <w:t xml:space="preserve">Data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2 Исправление геометрии кузова на стапеле Siver</w:t>
      </w:r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 D — ремонт панелей</w:t>
      </w:r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споттером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>D2» Правка поверхности с использованием ручного рихтовочного инструмента</w:t>
      </w:r>
    </w:p>
    <w:p w:rsidR="00CD6B68" w:rsidRPr="004C5E6A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C5E6A">
      <w:pPr>
        <w:pStyle w:val="aff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>оздушный трубопровод высокого давления (8-10бар) с разъемами для подключения пневмоинструмента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резиновые высокого давления 12 атм с разъемами, вн.диам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Фильтр-лубрикатор с быстросъемными соединениями (подключается на каждом рабочем месте к пневмомагистрали)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Расходный материал для споттера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Аппарат дымоудаления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Верстак бестумбовый  08.014G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56194A">
        <w:rPr>
          <w:rFonts w:ascii="Times New Roman" w:hAnsi="Times New Roman" w:cs="Times New Roman"/>
          <w:sz w:val="28"/>
          <w:szCs w:val="28"/>
        </w:rPr>
        <w:lastRenderedPageBreak/>
        <w:t xml:space="preserve">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E6A" w:rsidRPr="00C34D40" w:rsidRDefault="004C5E6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D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C5E6A" w:rsidRPr="00C34D40" w:rsidRDefault="004C5E6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беруши)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беруши/наушники.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удалению ошибок убедитесь, что автомобиль поставлен на ручной тормоз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работе со сваркой и споттером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r w:rsidRPr="000B73C5">
        <w:rPr>
          <w:rFonts w:ascii="Times New Roman" w:hAnsi="Times New Roman"/>
          <w:sz w:val="28"/>
          <w:szCs w:val="28"/>
        </w:rPr>
        <w:t>Без ознакомления приступать к работе запрещено!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59" w:rsidRPr="0029547E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4C5E6A" w:rsidP="004C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зачистная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зачистная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монтажек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сверел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 xml:space="preserve">Конкурсное задание выполняется на основной конкурсной 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>площадке</w:t>
      </w:r>
      <w:r w:rsidR="004C5E6A">
        <w:rPr>
          <w:rFonts w:ascii="Times New Roman" w:hAnsi="Times New Roman"/>
          <w:sz w:val="28"/>
          <w:szCs w:val="28"/>
          <w:lang w:val="ru-RU"/>
        </w:rPr>
        <w:t>,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автомобиль с </w:t>
      </w:r>
      <w:r w:rsidRPr="00623C36">
        <w:rPr>
          <w:rFonts w:ascii="Times New Roman" w:hAnsi="Times New Roman"/>
          <w:sz w:val="28"/>
          <w:szCs w:val="28"/>
        </w:rPr>
        <w:t>систем SRS (система пассивной безопасности)</w:t>
      </w:r>
      <w:r>
        <w:rPr>
          <w:rFonts w:ascii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</w:t>
      </w:r>
      <w:r w:rsidRPr="00AD05AA">
        <w:rPr>
          <w:rFonts w:ascii="Times New Roman" w:hAnsi="Times New Roman"/>
          <w:sz w:val="28"/>
          <w:szCs w:val="28"/>
        </w:rPr>
        <w:lastRenderedPageBreak/>
        <w:t>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9.2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ТЕХНИКА БЕЗОПАСНОСТИ (ТБ) и ОХРАНА ТРУДА (ОТ)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62E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Независимые специалисты по технике безопасности и охране труда, проводят обучение и инструктажи с участниками и экспертами, назначают ответственного эксперта, который будет отвечать, проводить текущие инструктажи, по соблюдение мер </w:t>
      </w:r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ТБ и ОТ на конкурсной площадке в течение всех дней чемпионата</w:t>
      </w:r>
      <w:r w:rsidRPr="00062E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Преднамеренное (участник или эксперт заявил, что он не собирается выполнять какое-либо требование инструкции по охране труда) или системное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Во время выполнения конкурсного задания конкурсант должен быть защищен от опасности получения травмы. Защитная одежда, головной убор, перчатки, обувь с жестким мыском, защита органов зрения</w:t>
      </w:r>
      <w:r w:rsidR="00366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/>
          <w:sz w:val="28"/>
          <w:szCs w:val="28"/>
          <w:lang w:val="ru-RU"/>
        </w:rPr>
        <w:t>- защитные очки или маска; органы слуха – наушники или беруши; обоняние - респиратор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Каждый эксперт обязан, находится на конкурсной площадке в специальной обуви с защитными мысками, иметь при себе и при необходимости использовать перчатки, защитные очки, беруши/наушники.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Разрешается отсутствие перчаток во время работы с компьютером и сканером, беруш и  респиратора во время работы с измерительной системой.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Каждый эксперт и участник должен знать месторасположение медицинской аптечки.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началом работы необходимо убедиться в исправности инструмента. </w:t>
      </w:r>
      <w:r w:rsidRPr="00AD05AA">
        <w:rPr>
          <w:rFonts w:ascii="Times New Roman" w:hAnsi="Times New Roman"/>
          <w:sz w:val="28"/>
          <w:szCs w:val="28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Необходимо убедиться, что все электрические провода на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следует убедиться, что фиксаторы задействованы, колеса заблокированы ограничителями.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попросить эксперта о помощи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 должен предпринять все меры для обеспечения безопасности жизни и здоровью людей и поставить в известность главного эксперта.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Ежедневно, 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r w:rsidRPr="00AD05AA">
        <w:rPr>
          <w:rFonts w:ascii="Times New Roman" w:hAnsi="Times New Roman"/>
          <w:sz w:val="28"/>
          <w:szCs w:val="28"/>
        </w:rPr>
        <w:t>Без ознакомления приступать к работе запрещено!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двух экспертов. При обнаружении нарушения правил ТБ и ОТ любого участника, эксперт, обнаруживший данное нарушение, должен произвести фото или видео фиксацию, затем остановить работу участника до устранения нарушений. Время, необходимое на устранение замечаний учитывается в затраченном времени на выполнение задания т.е. не рассматривается, как перерыв в работе). После устранения замечаний, эксперты должны поставить данному участнику соответствующие штрафные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Модуля или всего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заинтересованы в результатах данного участника (эксперты из того-же колледжа), они также имеют право голосовать либо за отстранение участника, либо воздержаться от голосования. </w:t>
      </w:r>
      <w:r w:rsidRPr="00AD05AA">
        <w:rPr>
          <w:rFonts w:ascii="Times New Roman" w:hAnsi="Times New Roman"/>
          <w:sz w:val="28"/>
          <w:szCs w:val="28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366844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062E59" w:rsidRDefault="00062E59" w:rsidP="00366844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ТБ, создающие реальную опасность причинения вреда себе или окружающим.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 с инструментом, участник должен знать инструкцию по эксплуатации, соблюдать все ее положения. В случае отсутствии у участника инструкции по эксплуатации какого-либо инструмента, он может запросить ее у технического эксперта. При этом, время, затраченное на поиск необходимой инструкции, не учитывается в общем времени участника на выполнение заданий. Инструкция дается участнику в распечатанном виде на русском языке (для иностранных участников – на английском).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Подписи за ознакомление с ТБ экспертов и участников смотрите ниже.</w:t>
      </w: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062E59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062E59" w:rsidRPr="00062E59">
        <w:rPr>
          <w:rFonts w:ascii="Times New Roman" w:hAnsi="Times New Roman" w:cs="Times New Roman"/>
          <w:sz w:val="28"/>
          <w:szCs w:val="28"/>
        </w:rPr>
        <w:t>ТРЕБОВАНИЯ К ПРОЕКТИРОВАНИЮ КОНКУРСНОГО ЗАДАНИЯ JUNIOR LEAGUE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4C5E6A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Считывание и удаление ошибок в системе SRS (система пассивной безопасности)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</w:p>
    <w:p w:rsidR="004C5E6A" w:rsidRPr="004C5E6A" w:rsidRDefault="004C5E6A" w:rsidP="004C5E6A">
      <w:pPr>
        <w:pStyle w:val="aff1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>» - Ремонт пластиковых элементов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 кузова автомобиля;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Отчет о смещении контрольных точек кузова составлен надлежащим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Надлежащим образом отремонтировать или заменить силовые элементы, включая те, что изготовлены из композитных материалов  (пластик, усиленный стекловолокном, углеволокно)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lastRenderedPageBreak/>
        <w:t>Выполнять перфорацию намеченных отверстий.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 зачистку заусенец.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Считывание и удаление ошибок в системе SRS (система пассивной безопасности)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Произвести диагностику неисправностей, снять и заменить механические, электрические компоненты и элементы отделки, и сбросить коды неисправностей.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Процедура ремонта состоит из ряда операций, каждая из которых будет оцениваться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>» - Ремонт пластиковых элементов кузова</w:t>
      </w:r>
    </w:p>
    <w:p w:rsidR="007369F8" w:rsidRP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7369F8" w:rsidRP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sectPr w:rsidR="007369F8" w:rsidRPr="007369F8" w:rsidSect="00CC483B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72" w:rsidRDefault="00CC1372" w:rsidP="00970F49">
      <w:pPr>
        <w:spacing w:after="0" w:line="240" w:lineRule="auto"/>
      </w:pPr>
      <w:r>
        <w:separator/>
      </w:r>
    </w:p>
  </w:endnote>
  <w:endnote w:type="continuationSeparator" w:id="0">
    <w:p w:rsidR="00CC1372" w:rsidRDefault="00CC137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C5E6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5E6A" w:rsidRPr="00832EBB" w:rsidRDefault="004C5E6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5E6A" w:rsidRPr="00832EBB" w:rsidRDefault="004C5E6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5E6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C5E6A" w:rsidRPr="009955F8" w:rsidRDefault="004C5E6A" w:rsidP="006B3A5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13-Кузовной ремонт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5E6A" w:rsidRPr="00832EBB" w:rsidRDefault="004C5E6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369F8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5E6A" w:rsidRDefault="004C5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72" w:rsidRDefault="00CC1372" w:rsidP="00970F49">
      <w:pPr>
        <w:spacing w:after="0" w:line="240" w:lineRule="auto"/>
      </w:pPr>
      <w:r>
        <w:separator/>
      </w:r>
    </w:p>
  </w:footnote>
  <w:footnote w:type="continuationSeparator" w:id="0">
    <w:p w:rsidR="00CC1372" w:rsidRDefault="00CC137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6A" w:rsidRDefault="004C5E6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C5E6A" w:rsidRDefault="004C5E6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5E6A" w:rsidRDefault="004C5E6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5E6A" w:rsidRPr="00B45AA4" w:rsidRDefault="004C5E6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20"/>
  </w:num>
  <w:num w:numId="14">
    <w:abstractNumId w:val="21"/>
  </w:num>
  <w:num w:numId="15">
    <w:abstractNumId w:val="13"/>
  </w:num>
  <w:num w:numId="16">
    <w:abstractNumId w:val="7"/>
  </w:num>
  <w:num w:numId="17">
    <w:abstractNumId w:val="23"/>
  </w:num>
  <w:num w:numId="18">
    <w:abstractNumId w:val="24"/>
  </w:num>
  <w:num w:numId="19">
    <w:abstractNumId w:val="16"/>
  </w:num>
  <w:num w:numId="20">
    <w:abstractNumId w:val="14"/>
  </w:num>
  <w:num w:numId="21">
    <w:abstractNumId w:val="15"/>
  </w:num>
  <w:num w:numId="22">
    <w:abstractNumId w:val="19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4FA8"/>
    <w:rsid w:val="000454B9"/>
    <w:rsid w:val="00056CDE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D4687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C5E6A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62789A"/>
    <w:rsid w:val="0063396F"/>
    <w:rsid w:val="00637468"/>
    <w:rsid w:val="0064491A"/>
    <w:rsid w:val="00653B50"/>
    <w:rsid w:val="006873B8"/>
    <w:rsid w:val="0069218E"/>
    <w:rsid w:val="00692E20"/>
    <w:rsid w:val="006A00FA"/>
    <w:rsid w:val="006B0FEA"/>
    <w:rsid w:val="006B3A50"/>
    <w:rsid w:val="006C6D6D"/>
    <w:rsid w:val="006C7A3B"/>
    <w:rsid w:val="006E0333"/>
    <w:rsid w:val="00727F97"/>
    <w:rsid w:val="007369F8"/>
    <w:rsid w:val="0074372D"/>
    <w:rsid w:val="007735DC"/>
    <w:rsid w:val="007A0A9B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62959"/>
    <w:rsid w:val="00C95538"/>
    <w:rsid w:val="00CA1BE8"/>
    <w:rsid w:val="00CA5357"/>
    <w:rsid w:val="00CA6CCD"/>
    <w:rsid w:val="00CC1372"/>
    <w:rsid w:val="00CC483B"/>
    <w:rsid w:val="00CC50B7"/>
    <w:rsid w:val="00CD6B68"/>
    <w:rsid w:val="00CE420C"/>
    <w:rsid w:val="00D12ABD"/>
    <w:rsid w:val="00D16F4B"/>
    <w:rsid w:val="00D2075B"/>
    <w:rsid w:val="00D22D9A"/>
    <w:rsid w:val="00D37CEC"/>
    <w:rsid w:val="00D41269"/>
    <w:rsid w:val="00D45007"/>
    <w:rsid w:val="00D775E0"/>
    <w:rsid w:val="00DB6B19"/>
    <w:rsid w:val="00DE39D8"/>
    <w:rsid w:val="00DE5614"/>
    <w:rsid w:val="00DF6FAE"/>
    <w:rsid w:val="00E112E5"/>
    <w:rsid w:val="00E26712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50ADB"/>
    <w:rsid w:val="00F6025D"/>
    <w:rsid w:val="00F672B2"/>
    <w:rsid w:val="00F83D10"/>
    <w:rsid w:val="00F84E0F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EC12-B525-4D02-AF38-AA765F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0858-D1F5-4C95-9540-5A59ECD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11856</Words>
  <Characters>67584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 Верхотурцев</cp:lastModifiedBy>
  <cp:revision>3</cp:revision>
  <dcterms:created xsi:type="dcterms:W3CDTF">2018-07-27T10:57:00Z</dcterms:created>
  <dcterms:modified xsi:type="dcterms:W3CDTF">2018-07-27T10:57:00Z</dcterms:modified>
</cp:coreProperties>
</file>